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D4585" w14:textId="77777777" w:rsidR="00BB08A0" w:rsidRDefault="008A2DE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规划简要说明</w:t>
      </w:r>
    </w:p>
    <w:p w14:paraId="4F50ED9C" w14:textId="77777777" w:rsidR="00BB08A0" w:rsidRDefault="008A2DE1">
      <w:pPr>
        <w:spacing w:line="6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</w:t>
      </w:r>
    </w:p>
    <w:p w14:paraId="6EB861E5" w14:textId="77777777" w:rsidR="00BB08A0" w:rsidRDefault="008A2DE1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一、指导思想</w:t>
      </w:r>
    </w:p>
    <w:p w14:paraId="3290816F" w14:textId="77777777" w:rsidR="00BB08A0" w:rsidRDefault="008A2DE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面贯彻党的二十大精神，以习近平新时代中国特色社会主义思想为指导，按照国家、省、市相关技术标准和规范要求，贯彻“源网荷储”一体化理念，应用“规划引领、集中汇流、配置储能、就近消纳”基本思路，统筹考虑区域电网消纳能力、设备承载力、电网结构等因素，将分布式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伏开发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与电网规划深度融合，引导分布式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光伏向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可开放容量区域集中，提高新能源并网、消纳比例。</w:t>
      </w:r>
    </w:p>
    <w:p w14:paraId="6CC240E2" w14:textId="77777777" w:rsidR="00BB08A0" w:rsidRDefault="008A2DE1">
      <w:pPr>
        <w:numPr>
          <w:ilvl w:val="0"/>
          <w:numId w:val="1"/>
        </w:num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规划期限</w:t>
      </w:r>
    </w:p>
    <w:p w14:paraId="73401BD4" w14:textId="77777777" w:rsidR="00BB08A0" w:rsidRDefault="008A2DE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规划现状年为2023年，规划年限为2023年～2025年。</w:t>
      </w:r>
    </w:p>
    <w:p w14:paraId="7D788C6C" w14:textId="77777777" w:rsidR="00BB08A0" w:rsidRDefault="008A2DE1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三、规划策略</w:t>
      </w:r>
    </w:p>
    <w:p w14:paraId="14B0078B" w14:textId="77777777" w:rsidR="00BB08A0" w:rsidRDefault="008A2DE1">
      <w:pPr>
        <w:pStyle w:val="aa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受电力系统即发即用的特性，分布式光伏接纳能力主要取决于该区域经济负荷发展情况。坚持分布式光伏与区域经济负荷发展程度相结合、与电网发展相结合的原则，开展规划编制工作。</w:t>
      </w:r>
    </w:p>
    <w:p w14:paraId="401E2029" w14:textId="77777777" w:rsidR="00BB08A0" w:rsidRDefault="008A2DE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一是以县（市、区）等行政区划为单位开展规划编制工作；</w:t>
      </w:r>
    </w:p>
    <w:p w14:paraId="5EC4955E" w14:textId="77777777" w:rsidR="00BB08A0" w:rsidRDefault="008A2DE1">
      <w:pPr>
        <w:pStyle w:val="aa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二是规划规模细化至各级乡镇和街道办事处，便于精细化管理；</w:t>
      </w:r>
    </w:p>
    <w:p w14:paraId="36A31423" w14:textId="77777777" w:rsidR="00BB08A0" w:rsidRDefault="008A2DE1">
      <w:pPr>
        <w:pStyle w:val="aa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三是充分挖掘电网接纳能力，保障分布式光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伏最大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规模开发。</w:t>
      </w:r>
    </w:p>
    <w:p w14:paraId="29484627" w14:textId="77777777" w:rsidR="00BB08A0" w:rsidRDefault="008A2DE1">
      <w:pPr>
        <w:spacing w:line="6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 四、电网建设项目规划成果</w:t>
      </w:r>
    </w:p>
    <w:p w14:paraId="54B80BED" w14:textId="77777777" w:rsidR="00BB08A0" w:rsidRDefault="008A2DE1">
      <w:pPr>
        <w:pStyle w:val="3"/>
        <w:spacing w:line="600" w:lineRule="exact"/>
        <w:ind w:firstLineChars="200" w:firstLine="640"/>
        <w:rPr>
          <w:rFonts w:ascii="楷体_GB2312" w:eastAsia="楷体_GB2312" w:hAnsi="楷体_GB2312" w:cs="楷体_GB2312"/>
          <w:b w:val="0"/>
          <w:sz w:val="32"/>
          <w:szCs w:val="32"/>
        </w:rPr>
      </w:pPr>
      <w:bookmarkStart w:id="1" w:name="_Toc11806"/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 xml:space="preserve">4.1 </w:t>
      </w:r>
      <w:r>
        <w:rPr>
          <w:rFonts w:ascii="楷体_GB2312" w:eastAsia="楷体_GB2312" w:hAnsi="楷体_GB2312" w:cs="楷体_GB2312" w:hint="eastAsia"/>
          <w:b w:val="0"/>
          <w:sz w:val="32"/>
          <w:szCs w:val="32"/>
          <w:lang w:val="zh-CN"/>
        </w:rPr>
        <w:t>截止</w:t>
      </w: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2023年4月可开发容量情况</w:t>
      </w:r>
    </w:p>
    <w:p w14:paraId="33AE610F" w14:textId="77777777" w:rsidR="00BB08A0" w:rsidRDefault="008A2DE1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根据负荷发展情况，测算聊城市截止4月底可开放容量为455.5兆瓦。其中，茌平、高唐、东阿和阳谷县光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伏开发规模超区域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负荷，需待负荷增长后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再行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开发光伏。</w:t>
      </w:r>
    </w:p>
    <w:p w14:paraId="43CE4DBF" w14:textId="77777777" w:rsidR="00BB08A0" w:rsidRDefault="00BB08A0">
      <w:pPr>
        <w:wordWrap w:val="0"/>
        <w:spacing w:line="600" w:lineRule="exact"/>
        <w:ind w:firstLineChars="200" w:firstLine="640"/>
        <w:jc w:val="righ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14:paraId="5C89754C" w14:textId="77777777" w:rsidR="00BB08A0" w:rsidRDefault="008A2DE1">
      <w:pPr>
        <w:wordWrap w:val="0"/>
        <w:spacing w:line="600" w:lineRule="exact"/>
        <w:ind w:firstLineChars="200" w:firstLine="640"/>
        <w:jc w:val="right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 xml:space="preserve">表1 各县区电网可开放容量明细表（截止4月底数据）   </w:t>
      </w: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 xml:space="preserve">   单位:兆瓦</w:t>
      </w:r>
    </w:p>
    <w:tbl>
      <w:tblPr>
        <w:tblW w:w="943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230"/>
        <w:gridCol w:w="3829"/>
        <w:gridCol w:w="3373"/>
      </w:tblGrid>
      <w:tr w:rsidR="00BB08A0" w14:paraId="5D826440" w14:textId="77777777">
        <w:trPr>
          <w:trHeight w:val="273"/>
        </w:trPr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C771" w14:textId="77777777" w:rsidR="00BB08A0" w:rsidRDefault="008A2DE1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县区</w:t>
            </w:r>
          </w:p>
        </w:tc>
        <w:tc>
          <w:tcPr>
            <w:tcW w:w="3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03ED" w14:textId="77777777" w:rsidR="00BB08A0" w:rsidRDefault="008A2DE1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已接入110千伏及以下光伏装机</w:t>
            </w:r>
          </w:p>
        </w:tc>
        <w:tc>
          <w:tcPr>
            <w:tcW w:w="3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09F0B" w14:textId="77777777" w:rsidR="00BB08A0" w:rsidRDefault="008A2DE1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截止目前可开发容量</w:t>
            </w:r>
          </w:p>
        </w:tc>
      </w:tr>
      <w:tr w:rsidR="00BB08A0" w14:paraId="45D4802F" w14:textId="77777777">
        <w:trPr>
          <w:trHeight w:val="273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E3CF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市辖区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6002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510.193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BDE1B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193.5</w:t>
            </w:r>
          </w:p>
        </w:tc>
      </w:tr>
      <w:tr w:rsidR="00BB08A0" w14:paraId="08A963C5" w14:textId="77777777">
        <w:trPr>
          <w:trHeight w:val="273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64C4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临清市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76F1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456.302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3B6D2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153</w:t>
            </w:r>
          </w:p>
        </w:tc>
      </w:tr>
      <w:tr w:rsidR="00BB08A0" w14:paraId="45BB50D4" w14:textId="77777777">
        <w:trPr>
          <w:trHeight w:val="273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28FF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莘县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B3D2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222.201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982CA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</w:tr>
      <w:tr w:rsidR="00BB08A0" w14:paraId="246FDBE8" w14:textId="77777777">
        <w:trPr>
          <w:trHeight w:val="273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FDD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冠县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5BDF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535.415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26B01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</w:tr>
      <w:tr w:rsidR="00BB08A0" w14:paraId="1F554FCA" w14:textId="77777777">
        <w:trPr>
          <w:trHeight w:val="273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2540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阳谷县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FD84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385.811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B6EC5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BB08A0" w14:paraId="3A3CC7EE" w14:textId="77777777">
        <w:trPr>
          <w:trHeight w:val="273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B228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茌平区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5DBB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416.874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DA76C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BB08A0" w14:paraId="48B5E7FE" w14:textId="77777777">
        <w:trPr>
          <w:trHeight w:val="273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CC4D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东阿县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93D1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288.97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39DB5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BB08A0" w14:paraId="65ECECCC" w14:textId="77777777">
        <w:trPr>
          <w:trHeight w:val="273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E0CE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高唐县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F708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558.817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6D097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BB08A0" w14:paraId="40B7FBDD" w14:textId="77777777">
        <w:trPr>
          <w:trHeight w:val="288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33F0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5241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3374.583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E802D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455.5</w:t>
            </w:r>
          </w:p>
        </w:tc>
      </w:tr>
    </w:tbl>
    <w:p w14:paraId="6D462BFE" w14:textId="77777777" w:rsidR="00BB08A0" w:rsidRDefault="008A2DE1">
      <w:pPr>
        <w:pStyle w:val="3"/>
        <w:spacing w:line="600" w:lineRule="exact"/>
        <w:ind w:firstLineChars="200" w:firstLine="640"/>
        <w:rPr>
          <w:rFonts w:ascii="楷体_GB2312" w:eastAsia="楷体_GB2312" w:hAnsi="楷体_GB2312" w:cs="楷体_GB2312"/>
          <w:b w:val="0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lastRenderedPageBreak/>
        <w:t xml:space="preserve">4.2 </w:t>
      </w:r>
      <w:bookmarkStart w:id="2" w:name="_Toc432434548"/>
      <w:bookmarkEnd w:id="1"/>
      <w:r>
        <w:rPr>
          <w:rFonts w:ascii="楷体_GB2312" w:eastAsia="楷体_GB2312" w:hAnsi="楷体_GB2312" w:cs="楷体_GB2312" w:hint="eastAsia"/>
          <w:b w:val="0"/>
          <w:sz w:val="32"/>
          <w:szCs w:val="32"/>
          <w:lang w:val="zh-CN"/>
        </w:rPr>
        <w:t>经济负荷发展预测</w:t>
      </w:r>
    </w:p>
    <w:p w14:paraId="38129FE4" w14:textId="77777777" w:rsidR="00BB08A0" w:rsidRDefault="008A2DE1">
      <w:pPr>
        <w:pStyle w:val="3"/>
        <w:spacing w:line="600" w:lineRule="exact"/>
        <w:ind w:firstLineChars="200" w:firstLine="640"/>
        <w:rPr>
          <w:rFonts w:ascii="仿宋_GB2312" w:eastAsia="仿宋_GB2312" w:hAnsi="仿宋_GB2312" w:cs="仿宋_GB2312"/>
          <w:b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sz w:val="32"/>
          <w:szCs w:val="32"/>
          <w:lang w:val="zh-CN"/>
        </w:rPr>
        <w:t>截止</w:t>
      </w: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2022年底，聊城市全网最大用电负荷5330兆瓦，最小用电负荷为1832兆瓦。根据</w:t>
      </w:r>
      <w:r>
        <w:rPr>
          <w:rFonts w:ascii="仿宋_GB2312" w:eastAsia="仿宋_GB2312" w:hAnsi="仿宋_GB2312" w:cs="仿宋_GB2312" w:hint="eastAsia"/>
          <w:b w:val="0"/>
          <w:sz w:val="32"/>
          <w:szCs w:val="32"/>
          <w:lang w:val="zh-CN"/>
        </w:rPr>
        <w:t>各县（市、区）经济发展情况及重点项目实施情况，测算至2025年聊城市各地区负荷平均增长率在</w:t>
      </w: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6%-9%左右。同时需同步考虑各级政府招商引商情况，不排除各县（市、区）存在负荷突增的情况。</w:t>
      </w:r>
    </w:p>
    <w:p w14:paraId="3D8CC7F8" w14:textId="77777777" w:rsidR="00BB08A0" w:rsidRDefault="008A2DE1">
      <w:pPr>
        <w:pStyle w:val="3"/>
        <w:spacing w:line="600" w:lineRule="exact"/>
        <w:ind w:firstLineChars="200" w:firstLine="640"/>
        <w:rPr>
          <w:rFonts w:ascii="楷体_GB2312" w:eastAsia="楷体_GB2312" w:hAnsi="楷体_GB2312" w:cs="楷体_GB2312"/>
          <w:b w:val="0"/>
          <w:sz w:val="32"/>
          <w:szCs w:val="32"/>
        </w:rPr>
      </w:pPr>
      <w:bookmarkStart w:id="3" w:name="_Toc4492"/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4.3 2023年</w:t>
      </w:r>
      <w:r>
        <w:rPr>
          <w:rFonts w:ascii="楷体_GB2312" w:eastAsia="楷体_GB2312" w:hAnsi="楷体_GB2312" w:cs="楷体_GB2312" w:hint="eastAsia"/>
          <w:b w:val="0"/>
          <w:sz w:val="32"/>
          <w:szCs w:val="32"/>
          <w:lang w:val="zh-CN"/>
        </w:rPr>
        <w:t>至</w:t>
      </w: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2025年电网规划情况</w:t>
      </w:r>
    </w:p>
    <w:p w14:paraId="5CE03C46" w14:textId="77777777" w:rsidR="00BB08A0" w:rsidRDefault="008A2DE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2023年至20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年聊城市规划建设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110千伏项目18项，建设变电容量123万千瓦，线路430.2公里，投资约11.53亿元；规划35千伏项目7项，建设线路144.1公里，投资约2.75亿元；规划建设10千伏配电容量64.5万千瓦，线路1645公里，投资约18.7亿元。</w:t>
      </w:r>
    </w:p>
    <w:p w14:paraId="217538B3" w14:textId="77777777" w:rsidR="00BB08A0" w:rsidRDefault="008A2DE1">
      <w:pPr>
        <w:pStyle w:val="1"/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zh-CN"/>
        </w:rPr>
        <w:t>表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2 </w:t>
      </w:r>
      <w:r>
        <w:rPr>
          <w:rFonts w:ascii="楷体_GB2312" w:eastAsia="楷体_GB2312" w:hAnsi="楷体_GB2312" w:cs="楷体_GB2312" w:hint="eastAsia"/>
          <w:sz w:val="32"/>
          <w:szCs w:val="32"/>
          <w:lang w:val="zh-CN"/>
        </w:rPr>
        <w:t>2023-2025年规划建设110～35千伏电网项目表</w:t>
      </w:r>
    </w:p>
    <w:tbl>
      <w:tblPr>
        <w:tblW w:w="8660" w:type="dxa"/>
        <w:jc w:val="center"/>
        <w:tblLayout w:type="fixed"/>
        <w:tblLook w:val="04A0" w:firstRow="1" w:lastRow="0" w:firstColumn="1" w:lastColumn="0" w:noHBand="0" w:noVBand="1"/>
      </w:tblPr>
      <w:tblGrid>
        <w:gridCol w:w="2281"/>
        <w:gridCol w:w="6379"/>
      </w:tblGrid>
      <w:tr w:rsidR="00BB08A0" w14:paraId="7E256DEF" w14:textId="77777777">
        <w:trPr>
          <w:trHeight w:val="539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FAC1" w14:textId="77777777" w:rsidR="00BB08A0" w:rsidRDefault="008A2DE1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县（市、区）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7BC7" w14:textId="77777777" w:rsidR="00BB08A0" w:rsidRDefault="008A2DE1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工程项目</w:t>
            </w:r>
          </w:p>
        </w:tc>
      </w:tr>
      <w:tr w:rsidR="00BB08A0" w14:paraId="4982E9E3" w14:textId="77777777">
        <w:trPr>
          <w:trHeight w:val="662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78B6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直供区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C6F1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龙江、东环、仙庄、八刘、益民（建设）110千伏输变电工程，干渠、畔城（朝营）、于磐220千伏变电站110千伏送出工程 </w:t>
            </w:r>
          </w:p>
        </w:tc>
      </w:tr>
      <w:tr w:rsidR="00BB08A0" w14:paraId="1040A2B9" w14:textId="77777777">
        <w:trPr>
          <w:trHeight w:val="558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773E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临清市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4DD5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肖寨～励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公110千伏线路工程，长顺（烟店）220千伏变电站110千伏送出工程</w:t>
            </w:r>
          </w:p>
        </w:tc>
      </w:tr>
      <w:tr w:rsidR="00BB08A0" w14:paraId="69CDB847" w14:textId="77777777">
        <w:trPr>
          <w:trHeight w:val="480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4B7B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冠县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70F8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梅庄、提固（冠北）110千伏输变电工程，冠县城区35kV网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架加强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工程</w:t>
            </w:r>
          </w:p>
        </w:tc>
      </w:tr>
      <w:tr w:rsidR="00BB08A0" w14:paraId="5D0BA307" w14:textId="77777777">
        <w:trPr>
          <w:trHeight w:val="720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6200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莘县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4430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莘县变电站整体改造工程，肖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（董杜庄）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110千伏输变电工程，南部油区110kV网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架加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强工程，莘县城区35kV网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架加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强工程、莘亭-张鲁35千伏线路工程</w:t>
            </w:r>
          </w:p>
        </w:tc>
      </w:tr>
      <w:tr w:rsidR="00BB08A0" w14:paraId="74FA538A" w14:textId="77777777">
        <w:trPr>
          <w:trHeight w:val="480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2939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阳谷县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35D7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沙河-张秋35千伏线路工程</w:t>
            </w:r>
          </w:p>
        </w:tc>
      </w:tr>
      <w:tr w:rsidR="00BB08A0" w14:paraId="7FBC2BB0" w14:textId="77777777">
        <w:trPr>
          <w:trHeight w:val="558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DE8D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东阿县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A629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胶城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110千伏输变电工程</w:t>
            </w:r>
          </w:p>
        </w:tc>
      </w:tr>
      <w:tr w:rsidR="00BB08A0" w14:paraId="514E51CC" w14:textId="77777777">
        <w:trPr>
          <w:trHeight w:val="480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F300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茌平区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2EC7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孟真(周桥)220kV变电站110kV、35千伏送出工程</w:t>
            </w:r>
          </w:p>
        </w:tc>
      </w:tr>
      <w:tr w:rsidR="00BB08A0" w14:paraId="54696A0F" w14:textId="77777777">
        <w:trPr>
          <w:trHeight w:val="480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E037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高唐县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8769" w14:textId="77777777" w:rsidR="00BB08A0" w:rsidRDefault="008A2DE1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文竹（人和）110千伏输变电工程，汇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-太和35千伏线路工程，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曲庄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站35kV开闭所新建工程</w:t>
            </w:r>
          </w:p>
        </w:tc>
      </w:tr>
    </w:tbl>
    <w:p w14:paraId="6B16B403" w14:textId="77777777" w:rsidR="00BB08A0" w:rsidRDefault="008A2DE1">
      <w:pPr>
        <w:pStyle w:val="3"/>
        <w:spacing w:line="600" w:lineRule="exact"/>
        <w:ind w:firstLineChars="200" w:firstLine="640"/>
        <w:rPr>
          <w:rFonts w:ascii="楷体_GB2312" w:eastAsia="楷体_GB2312" w:hAnsi="楷体_GB2312" w:cs="楷体_GB2312"/>
          <w:b w:val="0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4.4</w:t>
      </w:r>
      <w:bookmarkEnd w:id="2"/>
      <w:bookmarkEnd w:id="3"/>
      <w:r>
        <w:rPr>
          <w:rFonts w:ascii="楷体_GB2312" w:eastAsia="楷体_GB2312" w:hAnsi="楷体_GB2312" w:cs="楷体_GB2312" w:hint="eastAsia"/>
          <w:b w:val="0"/>
          <w:sz w:val="32"/>
          <w:szCs w:val="32"/>
          <w:lang w:val="zh-CN"/>
        </w:rPr>
        <w:t>预计</w:t>
      </w: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2025年可开发容量情况</w:t>
      </w:r>
    </w:p>
    <w:p w14:paraId="6104CCE0" w14:textId="77777777" w:rsidR="00BB08A0" w:rsidRDefault="008A2DE1">
      <w:pPr>
        <w:pStyle w:val="ad"/>
        <w:adjustRightInd w:val="0"/>
        <w:snapToGrid/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综合负荷发展及电网建设情况，如负荷发展达到预期的条件下，预计至20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年聊城市可开放容量增加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158.475兆瓦</w:t>
      </w:r>
      <w:bookmarkStart w:id="4" w:name="_Toc432434549"/>
      <w:bookmarkStart w:id="5" w:name="_Toc19202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2023-2025年可累计开发分布式光伏614兆瓦。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该规模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为负荷增速达到一定条件下的可开发上限，如区域内新增接入110千伏及以下电网的集中式新能源，将挤占分布式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光伏可开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放容量；同时如果区域内新增用户负荷和接入配网的储能设施，可增大分布式光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伏开发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容量。</w:t>
      </w:r>
    </w:p>
    <w:p w14:paraId="10349BE6" w14:textId="77777777" w:rsidR="00BB08A0" w:rsidRDefault="008A2DE1">
      <w:pPr>
        <w:pStyle w:val="ad"/>
        <w:adjustRightInd w:val="0"/>
        <w:snapToGrid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分布式光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伏开发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应满足上限的条件下，不能导致电网设备重过载。各县(市、区）可在采用低压零散接入和集中汇集统一开发两种模式开发。因低压零散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接入受低压台区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容量限制，累计可开放容量将少于集中汇集统一开发的模式。建议县(市、区）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采用集中汇集、高压接入的方式统一开发，充分挖掘电网接纳能力，保障分布式光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伏最大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规模发展。电量以上网为主的分布式光伏,参照集中式光伏场站建设标准,建设自有监控系统统一接入智能电网调度控制平台,实现实时运行信息采集、监视、控制；鼓励在消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纳困难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的地区配置储能设施。</w:t>
      </w:r>
    </w:p>
    <w:p w14:paraId="4D4D76F5" w14:textId="77777777" w:rsidR="00BB08A0" w:rsidRDefault="008A2DE1">
      <w:pPr>
        <w:pStyle w:val="ad"/>
        <w:adjustRightInd w:val="0"/>
        <w:snapToGrid/>
        <w:ind w:firstLineChars="700" w:firstLine="2240"/>
        <w:rPr>
          <w:rFonts w:ascii="宋体" w:eastAsiaTheme="minorEastAsia" w:hAnsi="宋体" w:cstheme="minorBidi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附图：高压汇集接入典型方案</w:t>
      </w:r>
    </w:p>
    <w:p w14:paraId="2FD97BE2" w14:textId="77777777" w:rsidR="00BB08A0" w:rsidRDefault="008A2DE1">
      <w:pPr>
        <w:pStyle w:val="ad"/>
        <w:adjustRightInd w:val="0"/>
        <w:snapToGrid/>
        <w:ind w:firstLine="640"/>
        <w:jc w:val="center"/>
        <w:rPr>
          <w:rFonts w:ascii="宋体" w:eastAsiaTheme="minorEastAsia" w:hAnsi="宋体" w:cstheme="minorBidi"/>
          <w:sz w:val="32"/>
          <w:szCs w:val="32"/>
        </w:rPr>
      </w:pPr>
      <w:r>
        <w:rPr>
          <w:sz w:val="32"/>
          <w:szCs w:val="32"/>
        </w:rPr>
        <w:object w:dxaOrig="6259" w:dyaOrig="3440" w14:anchorId="5DEBA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95pt;height:172pt" o:ole="">
            <v:imagedata r:id="rId8" o:title=""/>
            <o:lock v:ext="edit" aspectratio="f"/>
          </v:shape>
          <o:OLEObject Type="Embed" ProgID="Word.Document.12" ShapeID="_x0000_i1025" DrawAspect="Content" ObjectID="_1747754974" r:id="rId9"/>
        </w:object>
      </w:r>
    </w:p>
    <w:p w14:paraId="45724FA3" w14:textId="77777777" w:rsidR="00BB08A0" w:rsidRDefault="008A2DE1">
      <w:pPr>
        <w:pStyle w:val="3"/>
        <w:spacing w:line="600" w:lineRule="exact"/>
        <w:ind w:firstLineChars="200" w:firstLine="640"/>
        <w:rPr>
          <w:rFonts w:ascii="楷体_GB2312" w:eastAsia="楷体_GB2312" w:hAnsi="楷体_GB2312" w:cs="楷体_GB2312"/>
          <w:b w:val="0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b w:val="0"/>
          <w:sz w:val="32"/>
          <w:szCs w:val="32"/>
        </w:rPr>
        <w:t>4.5</w:t>
      </w:r>
      <w:bookmarkEnd w:id="4"/>
      <w:bookmarkEnd w:id="5"/>
      <w:r>
        <w:rPr>
          <w:rFonts w:ascii="楷体_GB2312" w:eastAsia="楷体_GB2312" w:hAnsi="楷体_GB2312" w:cs="楷体_GB2312" w:hint="eastAsia"/>
          <w:b w:val="0"/>
          <w:sz w:val="32"/>
          <w:szCs w:val="32"/>
          <w:lang w:val="zh-CN"/>
        </w:rPr>
        <w:t>规划成效</w:t>
      </w:r>
    </w:p>
    <w:p w14:paraId="4D660571" w14:textId="77777777" w:rsidR="00BB08A0" w:rsidRDefault="008A2DE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至2025年，全市可新增分布式光伏</w:t>
      </w:r>
      <w:r>
        <w:rPr>
          <w:rFonts w:ascii="仿宋_GB2312" w:eastAsia="仿宋_GB2312" w:hAnsi="仿宋_GB2312" w:cs="仿宋_GB2312" w:hint="eastAsia"/>
          <w:sz w:val="32"/>
          <w:szCs w:val="32"/>
        </w:rPr>
        <w:t>614兆瓦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，累计装机规模约</w:t>
      </w:r>
      <w:r>
        <w:rPr>
          <w:rFonts w:ascii="仿宋_GB2312" w:eastAsia="仿宋_GB2312" w:hAnsi="仿宋_GB2312" w:cs="仿宋_GB2312" w:hint="eastAsia"/>
          <w:sz w:val="32"/>
          <w:szCs w:val="32"/>
        </w:rPr>
        <w:t>4000兆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瓦，预计每年可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产生绿电约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40亿千瓦时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相当于为国家节约了161万吨标准煤，减少了108万吨碳粉尘、398万吨二氧化碳、12万吨二氧化硫以及6万吨氮氧化物的排放。</w:t>
      </w:r>
    </w:p>
    <w:sectPr w:rsidR="00BB08A0">
      <w:footerReference w:type="default" r:id="rId10"/>
      <w:pgSz w:w="11906" w:h="16838"/>
      <w:pgMar w:top="1701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BEB17" w14:textId="77777777" w:rsidR="00827B3D" w:rsidRDefault="008A2DE1">
      <w:r>
        <w:separator/>
      </w:r>
    </w:p>
  </w:endnote>
  <w:endnote w:type="continuationSeparator" w:id="0">
    <w:p w14:paraId="3E2F4880" w14:textId="77777777" w:rsidR="00827B3D" w:rsidRDefault="008A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F1484" w14:textId="77777777" w:rsidR="00BB08A0" w:rsidRDefault="008A2DE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C95619" wp14:editId="39F8C5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C7AB06" w14:textId="77777777" w:rsidR="00BB08A0" w:rsidRDefault="008A2DE1">
                          <w:pPr>
                            <w:pStyle w:val="a6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956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17C7AB06" w14:textId="77777777" w:rsidR="00BB08A0" w:rsidRDefault="008A2DE1">
                    <w:pPr>
                      <w:pStyle w:val="a6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3173F" w14:textId="77777777" w:rsidR="00827B3D" w:rsidRDefault="008A2DE1">
      <w:r>
        <w:separator/>
      </w:r>
    </w:p>
  </w:footnote>
  <w:footnote w:type="continuationSeparator" w:id="0">
    <w:p w14:paraId="6070F637" w14:textId="77777777" w:rsidR="00827B3D" w:rsidRDefault="008A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B0122"/>
    <w:multiLevelType w:val="singleLevel"/>
    <w:tmpl w:val="4B8B0122"/>
    <w:lvl w:ilvl="0">
      <w:start w:val="2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5AB"/>
    <w:rsid w:val="DF6F58B7"/>
    <w:rsid w:val="00040602"/>
    <w:rsid w:val="00332C40"/>
    <w:rsid w:val="003A3621"/>
    <w:rsid w:val="003F044E"/>
    <w:rsid w:val="00587AA2"/>
    <w:rsid w:val="006135AB"/>
    <w:rsid w:val="0077368A"/>
    <w:rsid w:val="00822BF0"/>
    <w:rsid w:val="00827B3D"/>
    <w:rsid w:val="008A2DE1"/>
    <w:rsid w:val="008F1A7E"/>
    <w:rsid w:val="00974B99"/>
    <w:rsid w:val="00987153"/>
    <w:rsid w:val="00A36FF7"/>
    <w:rsid w:val="00A65A79"/>
    <w:rsid w:val="00BA6876"/>
    <w:rsid w:val="00BB08A0"/>
    <w:rsid w:val="00E112D7"/>
    <w:rsid w:val="00E60529"/>
    <w:rsid w:val="00ED26F9"/>
    <w:rsid w:val="00FA65AE"/>
    <w:rsid w:val="035263AD"/>
    <w:rsid w:val="044E1F74"/>
    <w:rsid w:val="07A23970"/>
    <w:rsid w:val="094C1156"/>
    <w:rsid w:val="0FAB2A70"/>
    <w:rsid w:val="1738352D"/>
    <w:rsid w:val="1A42525C"/>
    <w:rsid w:val="1A9603B3"/>
    <w:rsid w:val="2DB66F0D"/>
    <w:rsid w:val="2F520E5A"/>
    <w:rsid w:val="37682750"/>
    <w:rsid w:val="39245508"/>
    <w:rsid w:val="3BE317BE"/>
    <w:rsid w:val="3E804B3E"/>
    <w:rsid w:val="45FD0B3C"/>
    <w:rsid w:val="47312648"/>
    <w:rsid w:val="4AA7055B"/>
    <w:rsid w:val="52BD063E"/>
    <w:rsid w:val="593C07C0"/>
    <w:rsid w:val="5A8E360D"/>
    <w:rsid w:val="5B1449C3"/>
    <w:rsid w:val="5DD306BE"/>
    <w:rsid w:val="5DFF58FA"/>
    <w:rsid w:val="5EC169D7"/>
    <w:rsid w:val="658E4734"/>
    <w:rsid w:val="664C296E"/>
    <w:rsid w:val="70474623"/>
    <w:rsid w:val="70DC32B4"/>
    <w:rsid w:val="731C063A"/>
    <w:rsid w:val="75577425"/>
    <w:rsid w:val="7623522A"/>
    <w:rsid w:val="7AF703E1"/>
    <w:rsid w:val="7B333492"/>
    <w:rsid w:val="7BFBDD63"/>
    <w:rsid w:val="7DBCF0C1"/>
    <w:rsid w:val="7F7FA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37E63EB"/>
  <w15:docId w15:val="{8A87837F-2A4C-4D6D-BDAE-5F8DA651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rFonts w:ascii="Times New Roman" w:hAnsi="Times New Roman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spacing w:line="360" w:lineRule="auto"/>
      <w:ind w:firstLineChars="200" w:firstLine="200"/>
    </w:pPr>
    <w:rPr>
      <w:rFonts w:eastAsia="仿宋_GB2312"/>
      <w:sz w:val="28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character" w:styleId="ab">
    <w:name w:val="Hyperlink"/>
    <w:basedOn w:val="a1"/>
    <w:rPr>
      <w:color w:val="0000FF"/>
      <w:u w:val="single"/>
    </w:rPr>
  </w:style>
  <w:style w:type="character" w:styleId="ac">
    <w:name w:val="annotation reference"/>
    <w:uiPriority w:val="99"/>
    <w:unhideWhenUsed/>
    <w:qFormat/>
    <w:rPr>
      <w:sz w:val="21"/>
      <w:szCs w:val="21"/>
    </w:rPr>
  </w:style>
  <w:style w:type="paragraph" w:customStyle="1" w:styleId="1">
    <w:name w:val="正文缩进1"/>
    <w:basedOn w:val="New"/>
    <w:qFormat/>
    <w:pPr>
      <w:ind w:firstLineChars="200" w:firstLine="420"/>
    </w:pPr>
  </w:style>
  <w:style w:type="paragraph" w:customStyle="1" w:styleId="New">
    <w:name w:val="正文 New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oparagraphstyle">
    <w:name w:val="[No paragraph style]"/>
    <w:qFormat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宋体" w:eastAsia="宋体" w:hAnsi="Times New Roman" w:cs="宋体"/>
      <w:color w:val="000000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hint="eastAsia"/>
    </w:rPr>
  </w:style>
  <w:style w:type="character" w:customStyle="1" w:styleId="a9">
    <w:name w:val="页眉 字符"/>
    <w:basedOn w:val="a1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1"/>
    <w:link w:val="a6"/>
    <w:rPr>
      <w:kern w:val="2"/>
      <w:sz w:val="18"/>
      <w:szCs w:val="18"/>
    </w:rPr>
  </w:style>
  <w:style w:type="character" w:customStyle="1" w:styleId="a5">
    <w:name w:val="批注框文本 字符"/>
    <w:basedOn w:val="a1"/>
    <w:link w:val="a4"/>
    <w:qFormat/>
    <w:rPr>
      <w:kern w:val="2"/>
      <w:sz w:val="18"/>
      <w:szCs w:val="18"/>
    </w:rPr>
  </w:style>
  <w:style w:type="character" w:customStyle="1" w:styleId="0-29">
    <w:name w:val="0-29磅正文 字符"/>
    <w:link w:val="0-290"/>
    <w:qFormat/>
    <w:rPr>
      <w:rFonts w:eastAsia="仿宋_GB2312"/>
      <w:color w:val="000000"/>
      <w:kern w:val="2"/>
      <w:sz w:val="28"/>
      <w:szCs w:val="28"/>
    </w:rPr>
  </w:style>
  <w:style w:type="paragraph" w:customStyle="1" w:styleId="0-290">
    <w:name w:val="0-29磅正文"/>
    <w:basedOn w:val="a"/>
    <w:link w:val="0-29"/>
    <w:qFormat/>
    <w:pPr>
      <w:adjustRightInd w:val="0"/>
      <w:snapToGrid w:val="0"/>
      <w:spacing w:line="580" w:lineRule="exact"/>
      <w:ind w:firstLineChars="200" w:firstLine="200"/>
    </w:pPr>
    <w:rPr>
      <w:rFonts w:ascii="Times New Roman" w:eastAsia="仿宋_GB2312" w:hAnsi="Times New Roman" w:cs="Times New Roman"/>
      <w:color w:val="000000"/>
      <w:sz w:val="28"/>
      <w:szCs w:val="28"/>
    </w:rPr>
  </w:style>
  <w:style w:type="character" w:customStyle="1" w:styleId="font21">
    <w:name w:val="font21"/>
    <w:basedOn w:val="a1"/>
    <w:qFormat/>
    <w:rPr>
      <w:rFonts w:ascii="方正小标宋简体" w:eastAsia="方正小标宋简体" w:hint="eastAsia"/>
      <w:color w:val="FF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黑体" w:eastAsia="黑体" w:hAnsi="黑体" w:hint="eastAsia"/>
      <w:b/>
      <w:bCs/>
      <w:color w:val="FF0000"/>
      <w:sz w:val="24"/>
      <w:szCs w:val="24"/>
      <w:u w:val="none"/>
    </w:rPr>
  </w:style>
  <w:style w:type="paragraph" w:customStyle="1" w:styleId="ad">
    <w:name w:val=".正文"/>
    <w:basedOn w:val="a"/>
    <w:qFormat/>
    <w:pPr>
      <w:widowControl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23235</dc:creator>
  <cp:lastModifiedBy>Administrator</cp:lastModifiedBy>
  <cp:revision>3</cp:revision>
  <dcterms:created xsi:type="dcterms:W3CDTF">2023-06-08T10:39:00Z</dcterms:created>
  <dcterms:modified xsi:type="dcterms:W3CDTF">2023-06-08T10:43:00Z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9791D8108D144F38AD686F9DAB2386DA</vt:lpwstr>
  </property>
</Properties>
</file>